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07 ноября 2022,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25nd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08 ноября 2022,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Metal-Expo’2022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Metal-Expo’2022, the 28th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for corrosion protection, The 23th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10:30–12:00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subcommittee for powder metallurgy by the Committee for the Ferrous Industry and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League to Support Defense Industry Enterprises 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5d-Internatioanl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Issues of Import Subsitution in Foundry and Press-Forging under Present Conditions, Meeting of Foundry and Press-Forging Committee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Heavy Engineering Committee.  Russian Union of Heavy Engineers</w:t>
            </w:r>
            <w:br/>
            <w:r>
              <w:rPr/>
              <w:t xml:space="preserve">tel.: +7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Corporate University from the Forects of Efficiency. Case-Study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Corporate University TMK2U</w:t>
            </w:r>
            <w:br/>
            <w:r>
              <w:rPr/>
              <w:t xml:space="preserve">tel.: +7 (950) 747-44-18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09 ноября 2022,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Metal-Expo’2022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Use of Bimetals  in Different lndustry Segments. Advantages, Modern Solutions, Market Trends etc. Conference.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5, hall 2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  <w:r>
              <w:rPr/>
              <w:t xml:space="preserve">OMK</w:t>
            </w:r>
            <w:br/>
            <w:r>
              <w:rPr/>
              <w:t xml:space="preserve">ZTZ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- roundtable of manufacturers of galvanized and pre-painted steel products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 and China: New Prospects of Cooperation,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Russian-Chinese Committee of Friendship, Peace and Development</w:t>
            </w:r>
            <w:br/>
            <w:r>
              <w:rPr/>
              <w:t xml:space="preserve">tel.: (495) 008-25-76 ext. 123</w:t>
            </w:r>
            <w:br/>
            <w:r>
              <w:rPr/>
              <w:t xml:space="preserve">Sinoruss</w:t>
            </w:r>
            <w:br/>
            <w:r>
              <w:rPr/>
              <w:t xml:space="preserve">tel.: +7 (495) 008-25-76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Committee for the Ferrous Industry and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RAS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2022,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Metal-Expo’2022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Promising Materials, Equipment and Solutions, the 21st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VNIIMETMASH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Trends in Efficient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Prospects of IT Steel Industry Commerсe. Roundtable.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Fakt</w:t>
            </w:r>
            <w:br/>
            <w:r>
              <w:rPr/>
              <w:t xml:space="preserve">tel.: +7 (495) 134-25-25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Steel Structures Design. Current Trends in Civil Construction,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Steel Structures Manufacture and Setup. New Realities,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Corporate Communication in the Russian and the CIS Steel Industries’2022, Conference; awarding winners of Competition for The Best Corporate Publication in the Steel Industry’2022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2022,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Metal-Expo’2022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Future is Laid Today, summit of students and post-graduates of industry-specific institutions
Awarding winners of Young Scientists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Thermal Diffusion Galvanizing, Zinc Paints, Zinc Powder for Corrosion Protection,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 for The Best Internet-Project 2022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Metalland, Intellectual brain-ring game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Metal-Expo'2022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Metal-Expo'2021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2024-04-27T00:36:17+03:00</dcterms:created>
  <dcterms:modified xsi:type="dcterms:W3CDTF">2024-04-27T00:36:17+03:00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