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22-я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25-й Международной промышленной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«Важность скорости изменений и построения экосистемы партнерств. Опыт Северстали», Панельная дискуссия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«Вовлеченный сотрудник способен сделать бизнес эффективнее. Системный подход к обучению»,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«Металл-Экспо’2019» (включая награждение лауреатов конкурса «Главное событие 2019 года в металлургии России», конкурса фильмов о металлургической промышленности «Metal-Vision’2019»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«Союз литейщиков - прогресс литейного производства»,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Союз литейщиков</w:t>
            </w:r>
            <w:br/>
            <w:r>
              <w:rPr/>
              <w:t xml:space="preserve">тел.: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«Обзор современной линейки ЛСТК станков, спектра продукции ЛСТК заводов и CAD автоматизации проектного и производственного процесса»,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тел.: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20-й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 вопросам взаимодействия предприятия и ВУЗа при формировании кадрового резерва управленческого персонала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«Продукты и решения для стального строительства»,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Параллель</w:t>
            </w:r>
            <w:br/>
            <w:r>
              <w:rPr/>
              <w:t xml:space="preserve">тел.: (4862) 36-90-36</w:t>
            </w:r>
            <w:br/>
            <w:r>
              <w:rPr/>
              <w:t xml:space="preserve">Северсталь-метиз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Практический семинар для производителей металлопродукции и металлотрейдеров по вопросам биржевой торговли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 вопросу расширения номенклатуры российской металлопродукции для медицинской отрасли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«Огнеупорные инновации для комплексной оптимизации сталеплавильного производства»,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 Проект</w:t>
            </w:r>
            <w:br/>
            <w:r>
              <w:rPr/>
              <w:t xml:space="preserve">тел.: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Цифровая трансформация металлургии – возможности перехода к «умному» производству,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Торжественное мероприятие по случаю 20-летия основания Фонда развития трубной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18-я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производства изделий из титановых сплавов и применение в отраслях промышленности. Аддитивные и 3D технологии в машиностроении»,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«Уголовно-правовые риски бизнеса в сфере металлургии и металлопоставок»,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перспективы развития Вашего бизнеса и инновации в области койл коутинга»,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«Совершенствование нормативной базы на производство и применение арматурного проката. Поиск новых продуктовых направлений»,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Заказ продукции на производстве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2019», Конференция
Награждение лауреатов конкурса «Лучшее корпоративное издание в металлургической отрасли – 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Сколково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Покупка продукции со складов дистрибуционной сети и на аукционах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«Современное металлостроительство. Проблемы и тенденции»,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ААА ЕвроАнгар</w:t>
            </w:r>
            <w:br/>
            <w:r>
              <w:rPr/>
              <w:t xml:space="preserve">тел.: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2019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«100лет ОМД МИСиС»,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«Металл-Экспо’2019»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2025-07-01T05:05:24+03:00</dcterms:created>
  <dcterms:modified xsi:type="dcterms:W3CDTF">2025-07-01T05:05:24+03:00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